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2991" w:rsidRDefault="004B2991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4B2991" w:rsidRDefault="004B2991">
      <w:pPr>
        <w:pStyle w:val="ConsPlusNormal"/>
        <w:jc w:val="both"/>
        <w:outlineLvl w:val="0"/>
      </w:pPr>
    </w:p>
    <w:p w:rsidR="004B2991" w:rsidRDefault="004B2991">
      <w:pPr>
        <w:pStyle w:val="ConsPlusTitle"/>
        <w:jc w:val="center"/>
        <w:outlineLvl w:val="0"/>
      </w:pPr>
      <w:r>
        <w:t>ФЕДЕРАЛЬНОЕ АГЕНТСТВО ПО ДЕЛАМ НАЦИОНАЛЬНОСТЕЙ</w:t>
      </w:r>
    </w:p>
    <w:p w:rsidR="004B2991" w:rsidRDefault="004B2991">
      <w:pPr>
        <w:pStyle w:val="ConsPlusTitle"/>
        <w:jc w:val="center"/>
      </w:pPr>
    </w:p>
    <w:p w:rsidR="004B2991" w:rsidRDefault="004B2991">
      <w:pPr>
        <w:pStyle w:val="ConsPlusTitle"/>
        <w:jc w:val="center"/>
      </w:pPr>
      <w:r>
        <w:t>ПИСЬМО</w:t>
      </w:r>
    </w:p>
    <w:p w:rsidR="004B2991" w:rsidRDefault="004B2991">
      <w:pPr>
        <w:pStyle w:val="ConsPlusTitle"/>
        <w:jc w:val="center"/>
      </w:pPr>
      <w:r>
        <w:t>от 21 октября 2022 г. N 33509-01.1-23-ИБ</w:t>
      </w:r>
    </w:p>
    <w:p w:rsidR="004B2991" w:rsidRDefault="004B2991">
      <w:pPr>
        <w:pStyle w:val="ConsPlusTitle"/>
        <w:jc w:val="center"/>
      </w:pPr>
    </w:p>
    <w:p w:rsidR="004B2991" w:rsidRDefault="004B2991">
      <w:pPr>
        <w:pStyle w:val="ConsPlusTitle"/>
        <w:jc w:val="center"/>
      </w:pPr>
      <w:r>
        <w:t>О НАПРАВЛЕНИИ МЕТОДИЧЕСКИХ РЕКОМЕНДАЦИЙ</w:t>
      </w:r>
    </w:p>
    <w:p w:rsidR="004B2991" w:rsidRDefault="004B2991">
      <w:pPr>
        <w:pStyle w:val="ConsPlusNormal"/>
        <w:ind w:firstLine="540"/>
        <w:jc w:val="both"/>
      </w:pPr>
    </w:p>
    <w:p w:rsidR="004B2991" w:rsidRDefault="004B2991">
      <w:pPr>
        <w:pStyle w:val="ConsPlusNormal"/>
        <w:ind w:firstLine="540"/>
        <w:jc w:val="both"/>
      </w:pPr>
      <w:r>
        <w:t xml:space="preserve">В рамках реализации </w:t>
      </w:r>
      <w:hyperlink r:id="rId5">
        <w:r>
          <w:rPr>
            <w:color w:val="0000FF"/>
          </w:rPr>
          <w:t>пункта 5.11</w:t>
        </w:r>
      </w:hyperlink>
      <w:r>
        <w:t xml:space="preserve"> Положения о Федеральном агентстве по делам национальностей, утвержденного постановлением Правительства Российской Федерации от 18 апреля 2015 г. N 368, ФАДН России направляет для руководства в работе и практического применения Методические </w:t>
      </w:r>
      <w:hyperlink w:anchor="P24">
        <w:r>
          <w:rPr>
            <w:color w:val="0000FF"/>
          </w:rPr>
          <w:t>рекомендации</w:t>
        </w:r>
      </w:hyperlink>
      <w:r>
        <w:t xml:space="preserve"> по основным направлениям взаимодействия органов государственной власти субъектов Российской Федерации и органов местного самоуправления, уполномоченных в сфере государственной национальной политики, с религиозными объединениями (далее - методические рекомендации), утвержденные приказом ФАДН России от 14 октября 2022 г. N 164.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 xml:space="preserve">Просим направить методические </w:t>
      </w:r>
      <w:hyperlink w:anchor="P24">
        <w:r>
          <w:rPr>
            <w:color w:val="0000FF"/>
          </w:rPr>
          <w:t>рекомендации</w:t>
        </w:r>
      </w:hyperlink>
      <w:r>
        <w:t xml:space="preserve"> органам местного самоуправления, а информацию об итогах их применения просим направлять в ФАДН России ежегодно, не позднее 25 декабря.</w:t>
      </w:r>
    </w:p>
    <w:p w:rsidR="004B2991" w:rsidRDefault="004B2991">
      <w:pPr>
        <w:pStyle w:val="ConsPlusNormal"/>
        <w:ind w:firstLine="540"/>
        <w:jc w:val="both"/>
      </w:pPr>
    </w:p>
    <w:p w:rsidR="004B2991" w:rsidRDefault="004B2991">
      <w:pPr>
        <w:pStyle w:val="ConsPlusNormal"/>
        <w:jc w:val="right"/>
      </w:pPr>
      <w:r>
        <w:t>И.В.БАРИНОВ</w:t>
      </w:r>
    </w:p>
    <w:p w:rsidR="004B2991" w:rsidRDefault="004B2991">
      <w:pPr>
        <w:pStyle w:val="ConsPlusNormal"/>
        <w:ind w:firstLine="540"/>
        <w:jc w:val="both"/>
      </w:pPr>
    </w:p>
    <w:p w:rsidR="004B2991" w:rsidRDefault="004B2991">
      <w:pPr>
        <w:pStyle w:val="ConsPlusNormal"/>
        <w:ind w:firstLine="540"/>
        <w:jc w:val="both"/>
      </w:pPr>
    </w:p>
    <w:p w:rsidR="004B2991" w:rsidRDefault="004B2991">
      <w:pPr>
        <w:pStyle w:val="ConsPlusNormal"/>
        <w:ind w:firstLine="540"/>
        <w:jc w:val="both"/>
      </w:pPr>
    </w:p>
    <w:p w:rsidR="004B2991" w:rsidRDefault="004B2991">
      <w:pPr>
        <w:pStyle w:val="ConsPlusNormal"/>
        <w:ind w:firstLine="540"/>
        <w:jc w:val="both"/>
      </w:pPr>
    </w:p>
    <w:p w:rsidR="004B2991" w:rsidRDefault="004B2991">
      <w:pPr>
        <w:pStyle w:val="ConsPlusNormal"/>
        <w:ind w:firstLine="540"/>
        <w:jc w:val="both"/>
      </w:pPr>
    </w:p>
    <w:p w:rsidR="004B2991" w:rsidRDefault="004B2991">
      <w:pPr>
        <w:pStyle w:val="ConsPlusNormal"/>
        <w:jc w:val="right"/>
        <w:outlineLvl w:val="0"/>
      </w:pPr>
      <w:r>
        <w:t>Приложение</w:t>
      </w:r>
    </w:p>
    <w:p w:rsidR="004B2991" w:rsidRDefault="004B2991">
      <w:pPr>
        <w:pStyle w:val="ConsPlusNormal"/>
        <w:ind w:firstLine="540"/>
        <w:jc w:val="both"/>
      </w:pPr>
    </w:p>
    <w:p w:rsidR="004B2991" w:rsidRDefault="004B2991">
      <w:pPr>
        <w:pStyle w:val="ConsPlusNormal"/>
        <w:jc w:val="right"/>
      </w:pPr>
      <w:r>
        <w:t>Утверждены</w:t>
      </w:r>
    </w:p>
    <w:p w:rsidR="004B2991" w:rsidRDefault="004B2991">
      <w:pPr>
        <w:pStyle w:val="ConsPlusNormal"/>
        <w:jc w:val="right"/>
      </w:pPr>
      <w:r>
        <w:t>приказом Федерального агентства</w:t>
      </w:r>
    </w:p>
    <w:p w:rsidR="004B2991" w:rsidRDefault="004B2991">
      <w:pPr>
        <w:pStyle w:val="ConsPlusNormal"/>
        <w:jc w:val="right"/>
      </w:pPr>
      <w:r>
        <w:t>по делам национальностей</w:t>
      </w:r>
    </w:p>
    <w:p w:rsidR="004B2991" w:rsidRDefault="004B2991">
      <w:pPr>
        <w:pStyle w:val="ConsPlusNormal"/>
        <w:jc w:val="right"/>
      </w:pPr>
      <w:r>
        <w:t>от 14 октября 2022 г. N 164</w:t>
      </w:r>
    </w:p>
    <w:p w:rsidR="004B2991" w:rsidRDefault="004B2991">
      <w:pPr>
        <w:pStyle w:val="ConsPlusNormal"/>
        <w:jc w:val="center"/>
      </w:pPr>
    </w:p>
    <w:p w:rsidR="004B2991" w:rsidRDefault="004B2991">
      <w:pPr>
        <w:pStyle w:val="ConsPlusTitle"/>
        <w:jc w:val="center"/>
      </w:pPr>
      <w:bookmarkStart w:id="0" w:name="P24"/>
      <w:bookmarkEnd w:id="0"/>
      <w:r>
        <w:t>МЕТОДИЧЕСКИЕ РЕКОМЕНДАЦИИ</w:t>
      </w:r>
    </w:p>
    <w:p w:rsidR="004B2991" w:rsidRDefault="004B2991">
      <w:pPr>
        <w:pStyle w:val="ConsPlusTitle"/>
        <w:jc w:val="center"/>
      </w:pPr>
      <w:r>
        <w:t>ПО ОСНОВНЫМ НАПРАВЛЕНИЯМ ВЗАИМОДЕЙСТВИЯ ОРГАНОВ</w:t>
      </w:r>
    </w:p>
    <w:p w:rsidR="004B2991" w:rsidRDefault="004B2991">
      <w:pPr>
        <w:pStyle w:val="ConsPlusTitle"/>
        <w:jc w:val="center"/>
      </w:pPr>
      <w:r>
        <w:t>ГОСУДАРСТВЕННОЙ ВЛАСТИ СУБЪЕКТОВ РОССИЙСКОЙ ФЕДЕРАЦИИ</w:t>
      </w:r>
    </w:p>
    <w:p w:rsidR="004B2991" w:rsidRDefault="004B2991">
      <w:pPr>
        <w:pStyle w:val="ConsPlusTitle"/>
        <w:jc w:val="center"/>
      </w:pPr>
      <w:r>
        <w:t>И ОРГАНОВ МЕСТНОГО САМОУПРАВЛЕНИЯ, УПОЛНОМОЧЕННЫХ В СФЕРЕ</w:t>
      </w:r>
    </w:p>
    <w:p w:rsidR="004B2991" w:rsidRDefault="004B2991">
      <w:pPr>
        <w:pStyle w:val="ConsPlusTitle"/>
        <w:jc w:val="center"/>
      </w:pPr>
      <w:r>
        <w:t>ГОСУДАРСТВЕННОЙ НАЦИОНАЛЬНОЙ ПОЛИТИКИ,</w:t>
      </w:r>
    </w:p>
    <w:p w:rsidR="004B2991" w:rsidRDefault="004B2991">
      <w:pPr>
        <w:pStyle w:val="ConsPlusTitle"/>
        <w:jc w:val="center"/>
      </w:pPr>
      <w:r>
        <w:t>С РЕЛИГИОЗНЫМИ ОБЪЕДИНЕНИЯМИ</w:t>
      </w:r>
    </w:p>
    <w:p w:rsidR="004B2991" w:rsidRDefault="004B2991">
      <w:pPr>
        <w:pStyle w:val="ConsPlusNormal"/>
        <w:ind w:firstLine="540"/>
        <w:jc w:val="both"/>
      </w:pPr>
    </w:p>
    <w:p w:rsidR="004B2991" w:rsidRDefault="004B2991">
      <w:pPr>
        <w:pStyle w:val="ConsPlusTitle"/>
        <w:jc w:val="center"/>
        <w:outlineLvl w:val="1"/>
      </w:pPr>
      <w:r>
        <w:t>I. Общие положения</w:t>
      </w:r>
    </w:p>
    <w:p w:rsidR="004B2991" w:rsidRDefault="004B2991">
      <w:pPr>
        <w:pStyle w:val="ConsPlusNormal"/>
        <w:ind w:firstLine="540"/>
        <w:jc w:val="both"/>
      </w:pPr>
    </w:p>
    <w:p w:rsidR="004B2991" w:rsidRDefault="004B2991">
      <w:pPr>
        <w:pStyle w:val="ConsPlusNormal"/>
        <w:ind w:firstLine="540"/>
        <w:jc w:val="both"/>
      </w:pPr>
      <w:r>
        <w:t xml:space="preserve">1.1. Методические рекомендации по основным направлениям взаимодействия органов государственной власти субъектов Российской Федерации и органов местного самоуправления, уполномоченных в сфере государственной национальной политики, с религиозными объединениями (далее - Методические рекомендации, рекомендации) подготовлены Федеральным агентством по делам национальностей для органов государственной власти субъектов Российской Федерации и органов местного самоуправления, уполномоченных в сфере государственной национальной политики (далее - органы государственной власти и органы местного самоуправления), в соответствии с </w:t>
      </w:r>
      <w:hyperlink r:id="rId6">
        <w:r>
          <w:rPr>
            <w:color w:val="0000FF"/>
          </w:rPr>
          <w:t>пунктом 5.11</w:t>
        </w:r>
      </w:hyperlink>
      <w:r>
        <w:t xml:space="preserve"> Положения о Федеральном агентстве по делам национальностей, утвержденного постановлением Правительства Российской Федерации </w:t>
      </w:r>
      <w:r>
        <w:lastRenderedPageBreak/>
        <w:t>от 18 апреля 2015 г. N 368, в целях руководства при осуществлении ими взаимодействия с религиозными объединениями.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1.2. Рекомендации подготовлены с учетом практики, сложившейся в органах государственной власти по осуществлению такого взаимодействия, и направлены на обеспечение единых подходов к вопросам защиты права на свободу совести и свободу вероисповедания и вопросам деятельности религиозных объединений.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1.3. В настоящих Методических рекомендациях используются следующие понятия: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религиозное объединение в Российской Федерации - добровольное объединение граждан Российской Федерации, иных лиц, постоянно и на законных основаниях проживающих на территории Российской Федерации, образованное в целях совместного исповедания и распространения веры и обладающее соответствующими этой цели признаками (вероисповедание; совершение богослужений, других религиозных обрядов и церемоний; обучение религии и религиозное воспитание своих последователей);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религиозная организация - добровольное объединение граждан Российской Федерации, иных лиц, постоянно и на законных основаниях проживающих на территории Российской Федерации, образованное в целях совместного исповедания и распространения веры и в установленном законом порядке зарегистрированное в качестве юридического лица;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религиозная группа - добровольное объединение граждан, образованное в целях совместного исповедания и распространения веры, осуществляющее деятельность без государственной регистрации и приобретения правоспособности юридического лица.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 xml:space="preserve">1.4. Деятельность органов государственной власти и органов местного самоуправления при осуществлении полномочий по взаимодействию с религиозными объединениями основывается на положениях </w:t>
      </w:r>
      <w:hyperlink r:id="rId7">
        <w:r>
          <w:rPr>
            <w:color w:val="0000FF"/>
          </w:rPr>
          <w:t>Конституции</w:t>
        </w:r>
      </w:hyperlink>
      <w:r>
        <w:t xml:space="preserve"> Российской Федерации, Гражданского </w:t>
      </w:r>
      <w:hyperlink r:id="rId8">
        <w:r>
          <w:rPr>
            <w:color w:val="0000FF"/>
          </w:rPr>
          <w:t>кодекса</w:t>
        </w:r>
      </w:hyperlink>
      <w:r>
        <w:t xml:space="preserve"> Российской Федерации, </w:t>
      </w:r>
      <w:hyperlink r:id="rId9">
        <w:r>
          <w:rPr>
            <w:color w:val="0000FF"/>
          </w:rPr>
          <w:t>Стратегии</w:t>
        </w:r>
      </w:hyperlink>
      <w:r>
        <w:t xml:space="preserve"> государственной национальной политики Российской Федерации на период до 2025 года, утвержденной Указом Президента Российской Федерации от 19 декабря 2012 г. N 1666 (далее - Стратегия государственной национальной политики), </w:t>
      </w:r>
      <w:hyperlink r:id="rId10">
        <w:r>
          <w:rPr>
            <w:color w:val="0000FF"/>
          </w:rPr>
          <w:t>Стратегии</w:t>
        </w:r>
      </w:hyperlink>
      <w:r>
        <w:t xml:space="preserve"> национальной безопасности Российской Федерации, утвержденной Указом Президента Российской Федерации от 2 июля 2021 г. N 400, </w:t>
      </w:r>
      <w:hyperlink r:id="rId11">
        <w:r>
          <w:rPr>
            <w:color w:val="0000FF"/>
          </w:rPr>
          <w:t>Указа</w:t>
        </w:r>
      </w:hyperlink>
      <w:r>
        <w:t xml:space="preserve"> Президента Российской Федерации от 7 мая 2018 г. N 204 "О национальных целях и стратегических задачах развития Российской Федерации на период до 2024 года", Федеральных законов Российской Федерации от 6 октября 1999 г. </w:t>
      </w:r>
      <w:hyperlink r:id="rId12">
        <w:r>
          <w:rPr>
            <w:color w:val="0000FF"/>
          </w:rPr>
          <w:t>N 184-ФЗ</w:t>
        </w:r>
      </w:hyperlink>
      <w:r>
        <w:t xml:space="preserve"> "Об общих принципах организации законодательных (представительных) и исполнительных органов государственной власти субъектов Российской Федерации", от 21 декабря 2021 г. </w:t>
      </w:r>
      <w:hyperlink r:id="rId13">
        <w:r>
          <w:rPr>
            <w:color w:val="0000FF"/>
          </w:rPr>
          <w:t>N 414-ФЗ</w:t>
        </w:r>
      </w:hyperlink>
      <w:r>
        <w:t xml:space="preserve"> "Об общих принципах организации публичной власти в субъектах Российской Федерации", от 6 октября 2003 г. </w:t>
      </w:r>
      <w:hyperlink r:id="rId14">
        <w:r>
          <w:rPr>
            <w:color w:val="0000FF"/>
          </w:rPr>
          <w:t>N 131-ФЗ</w:t>
        </w:r>
      </w:hyperlink>
      <w:r>
        <w:t xml:space="preserve"> "Об общих принципах организации местного самоуправления в Российской Федерации" и от 26 сентября 1997 г. </w:t>
      </w:r>
      <w:hyperlink r:id="rId15">
        <w:r>
          <w:rPr>
            <w:color w:val="0000FF"/>
          </w:rPr>
          <w:t>N 125-ФЗ</w:t>
        </w:r>
      </w:hyperlink>
      <w:r>
        <w:t xml:space="preserve"> "О свободе совести и о религиозных объединениях", иных нормативных правовых актах по вопросам защиты права на свободу совести и свободу вероисповедания и по вопросам деятельности религиозных объединений.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При взаимодействии с религиозными объединениями органам государственной власти, уполномоченным в сфере государственной национальной политики, рекомендуется руководствоваться: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методическими рекомендациями для органов государственной власти субъектов Российской Федерации и органов местного самоуправления по актуальным вопросам реализации государственной национальной политики, содействия социальной и культурной адаптации и интеграции иностранных граждан в Российской Федерации, а также профилактике экстремизма с примерными алгоритмами действий по ликвидации конфликтных ситуаций и их последствий, утвержденными приказом ФАДН России от 6 августа 2020 г. N 114;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lastRenderedPageBreak/>
        <w:t xml:space="preserve">методическими </w:t>
      </w:r>
      <w:hyperlink r:id="rId16">
        <w:r>
          <w:rPr>
            <w:color w:val="0000FF"/>
          </w:rPr>
          <w:t>рекомендациями</w:t>
        </w:r>
      </w:hyperlink>
      <w:r>
        <w:t xml:space="preserve"> для органов государственной власти субъектов Российской Федерации "О социальной и культурной адаптации и интеграции иностранных граждан в Российской Федерации", утвержденными приказом ФАДН России от 17 ноября 2020 г. N 142;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методическими рекомендациями для органов государственной власти субъектов Российской Федерации и органов местного самоуправления по проведению профилактической работы в среде мигрантов из Центрально-Азиатского региона с привлечением к ней представителей национальных общественных организаций народов Центральной Азии и мусульманского духовенства, утвержденными приказом ФАДН России от 22 марта 2021 г. N 24;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методическими рекомендациями для органов государственной власти субъектов Российской Федерации и органов местного самоуправления по основным направлениям профилактики экстремизма среди иностранных граждан, утвержденными приказом ФАДН России от 25 октября 2021 г. N 134;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рекомендациями по итогам Всероссийского семинара-совещания с представителями органов исполнительной власти субъектов Российской Федерации по вопросам реализации государственной национальной политики от 30 ноября 2020 г., направленными в субъекты Российской Федерации письмом ФАДН России от 18 января 2021 г. N 122-01.1-23-ИБ;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рекомендациями Федерального агентства по делам национальностей при осуществлении профилактической работы среди беженцев, прибывающих в Российскую Федерацию из Украины и Донбасса, направленными в субъекты Российской Федерации письмом ФАДН России от 5 мая 2022 г. N 12732-01.1-23-ИБ;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 xml:space="preserve">перечнем общественных и религиозных объединений, иных организаций, в отношении которых вступило в законную силу решение суда о ликвидации или запрете деятельности по основаниям, предусмотренным Федеральным </w:t>
      </w:r>
      <w:hyperlink r:id="rId17">
        <w:r>
          <w:rPr>
            <w:color w:val="0000FF"/>
          </w:rPr>
          <w:t>законом</w:t>
        </w:r>
      </w:hyperlink>
      <w:r>
        <w:t xml:space="preserve"> от 25 июля 2002 г. N 114-ФЗ "О противодействии экстремистской деятельности";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 xml:space="preserve">перечнем общественных и религиозных объединений, деятельность которых приостановлена в связи с осуществлением ими экстремистской деятельности, предусмотренным Федеральным </w:t>
      </w:r>
      <w:hyperlink r:id="rId18">
        <w:r>
          <w:rPr>
            <w:color w:val="0000FF"/>
          </w:rPr>
          <w:t>законом</w:t>
        </w:r>
      </w:hyperlink>
      <w:r>
        <w:t xml:space="preserve"> от 25 июля 2002 г. N 114-ФЗ "О противодействии экстремистской деятельности", размещенными на официальном сайте Министерства юстиции Российской Федерации в информационно-телекоммуникационной сети Интернет.</w:t>
      </w:r>
    </w:p>
    <w:p w:rsidR="004B2991" w:rsidRDefault="004B2991">
      <w:pPr>
        <w:pStyle w:val="ConsPlusNormal"/>
        <w:ind w:firstLine="540"/>
        <w:jc w:val="both"/>
      </w:pPr>
    </w:p>
    <w:p w:rsidR="004B2991" w:rsidRDefault="004B2991">
      <w:pPr>
        <w:pStyle w:val="ConsPlusTitle"/>
        <w:jc w:val="center"/>
        <w:outlineLvl w:val="1"/>
      </w:pPr>
      <w:r>
        <w:t>II. Основные направления взаимодействия органов</w:t>
      </w:r>
    </w:p>
    <w:p w:rsidR="004B2991" w:rsidRDefault="004B2991">
      <w:pPr>
        <w:pStyle w:val="ConsPlusTitle"/>
        <w:jc w:val="center"/>
      </w:pPr>
      <w:r>
        <w:t>государственной власти и органов местного самоуправления</w:t>
      </w:r>
    </w:p>
    <w:p w:rsidR="004B2991" w:rsidRDefault="004B2991">
      <w:pPr>
        <w:pStyle w:val="ConsPlusTitle"/>
        <w:jc w:val="center"/>
      </w:pPr>
      <w:r>
        <w:t>с религиозными объединениями</w:t>
      </w:r>
    </w:p>
    <w:p w:rsidR="004B2991" w:rsidRDefault="004B2991">
      <w:pPr>
        <w:pStyle w:val="ConsPlusNormal"/>
        <w:ind w:firstLine="540"/>
        <w:jc w:val="both"/>
      </w:pPr>
    </w:p>
    <w:p w:rsidR="004B2991" w:rsidRDefault="004B2991">
      <w:pPr>
        <w:pStyle w:val="ConsPlusNormal"/>
        <w:ind w:firstLine="540"/>
        <w:jc w:val="both"/>
      </w:pPr>
      <w:r>
        <w:t>2.1. Учитывая полномочия органов государственной власти и органов местного самоуправления и правовые основы, регулирующие их взаимодействие с религиозными объединениями, к основным направлениям взаимоотношений органов государственной власти и органов местного самоуправления с религиозными объединениями должны быть отнесены: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осуществление на постоянной основе диалога власти и религиозных объединений по актуальным вопросам в сфере межнациональных и межконфессиональных отношений;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государственная поддержка социально значимой деятельности религиозных объединений (финансовая, имущественная, методическая, консультативная, информационная и организационная);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совместное проведение массовых просветительских, общественно значимых, этнокультурных и научно-образовательных мероприятий с участием религиозных объединений;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lastRenderedPageBreak/>
        <w:t>проведение научно-исследовательских работ, направленных на изучение состояния межконфессиональных отношений.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2.2. Системной диалоговой площадкой власти и общества в сфере межконфессиональных отношений в субъектах Российской Федерации должны быть консультативно-совещательные органы по взаимодействию с религиозными объединениями при высшем должностном лице субъекта Российской Федерации и уполномоченном должностном лице органа местного самоуправления в форме советов, координационных советов и профильных рабочих групп (далее - консультативно-совещательные, совещательные органы). Для этого необходимо: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активизировать деятельность совещательных органов по вопросам межконфессиональных отношений. В случае отсутствия таких органов - организовать их работу;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губернаторам (главам) субъектов Российской Федерации и должностным лицам органов местного самоуправления лично возглавить совещательные органы по вопросам межконфессиональных отношений, предусмотрев периодичность их заседаний не реже двух раз в год;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определить в субъектах Российской Федерации и во всех муниципальных образованиях ответственных должностных лиц, курирующих вопросы межконфессиональных отношений;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включить в состав совещательных органов в обязательном порядке представителей органов государственной власти, органов местного самоуправления, представителей основных традиционных религий, руководителей религиозных объединений, представителей научного и экспертного сообществ, лидеров общественного мнения;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приглашать на заседания совещательных органов в качестве докладчиков и экспертов представителей правоохранительных органов, в том числе подразделений центров по противодействию экстремизму и вопросам миграции МВД России, органов прокуратуры;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выстроить с такими органами порядок обмена оперативной информацией, требующей контроля и неотложного реагирования на потенциальные угрозы, вести ее учет. Результаты работы отражать в протоколах заседаний консультативно-совещательных органов;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инициировать работу членов совещательных органов по пропаганде взаимоуважительных отношений и диалога представителей религиозных объединений с привлечением средств массовой информации;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ориентировать основную деятельность указанных органов на повышение их роли в осуществлении конкретных мер, касающихся профилактики религиозного экстремизма, противодействия идеологии терроризма, а также недопущения дискриминации по расовому, национальному и религиозному признакам;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обеспечить в рамках заседаний консультативно-совещательных органов оперативное реагирование на конфликтные ситуации, возникающие в сфере межнациональных и межконфессиональных отношений, в том числе выявленные государственной информационной системой мониторинга в сфере межнациональных и межконфессиональных отношений и раннего предупреждения конфликтных ситуаций;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принимать по результатам работы совещательных органов необходимые решения и выработать рекомендации по вопросам взаимодействия с религиозными объединениями, в том числе с целью координации совместной деятельности с органами местного самоуправления;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отражать в протокольных поручениях губернаторов (глав) субъектов Российской Федерации органам государственной власти и органам местного самоуправления принятые и реализованные инициативы религиозных объединений, их результаты;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lastRenderedPageBreak/>
        <w:t>осуществлять в рамках консультативно-совещательных органов экспертную оценку влияния межнациональных и межконфессиональных отношений в субъектах Российской Федерации на ситуацию в сфере профилактики экстремизма и противодействия идеологии терроризма;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подводить итоги состояния межконфессиональных отношений в регионе на одном из ежегодных заседаний консультативно-совещательных органов, освещать содержательные аспекты их деятельности;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размещать информацию о создании совещательных органов, содержательном аспекте их деятельности и итогах работы на официальных сайтах (порталах) органов государственной власти и органов местного самоуправления, а также в средствах массовой информации;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обеспечить направление в федеральный орган исполнительной власти, уполномоченный в сфере реализации государственной национальной политики, копий решений (протоколов) заседаний совещательных органов и результаты их исполнения по полугодиям.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 xml:space="preserve">Ввиду взаимосвязи вопросов межнациональных и межконфессиональных отношений целесообразно обеспечить их рассмотрение в рамках единого консультативно-совещательного органа (совета, координационного совета, рабочей группы) при высшем должностном лице субъекта Российской Федерации и должностном лице органа местного самоуправления, ответственном за реализацию </w:t>
      </w:r>
      <w:hyperlink r:id="rId19">
        <w:r>
          <w:rPr>
            <w:color w:val="0000FF"/>
          </w:rPr>
          <w:t>Стратегии</w:t>
        </w:r>
      </w:hyperlink>
      <w:r>
        <w:t xml:space="preserve"> государственной национальной политики.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В качестве диалоговых площадок власти и религиозных объединений по актуальным вопросам в сфере межнациональных и межконфессиональных отношений в регионах необходимо задействовать дома дружбы и дома национальностей, функционирующие в регионе.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Целесообразно использовать возможности домов дружбы, домов национальностей, центров социально-культурной адаптации мигрантов и детей мигрантов в целях проведения с представителями религиозных объединений, землячеств и диаспор, представляющих интересы различных этнических и религиозных групп, работы по вопросам изучения норм законодательства Российской Федерации, традиционных российских духовно-нравственных ценностей и современной религиозной ситуации, в том числе проблем и жизненных ситуаций с точки зрения нравственных, моральных и духовных аспектов.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Предусмотреть также задействование возможностей домов дружбы и домов национальностей для формирования у представителей религиозных объединений неприятия идеологии терроризма: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- путем создания видео-, аудио-, печатных материалов информационно-пропагандистской направленности и распространения их по популярным у религиозных объединений каналам;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- при проведении собраний, форумов (конференций), семинаров, выставок с включением тем (вопросов) по профилактике экстремизма и противодействию идеологии терроризма.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Продолжить практику заключения органами государственной власти и органами местного самоуправления соглашений с религиозными объединениями, осуществляющими свою деятельность на территориях субъектов Российской Федерации и муниципальных образований (в том числе с высокой миграционной активностью, с большим притоком беженцев, прибывающих в Российскую Федерацию из Украины, Донецкой и Луганской Народных Республик, Запорожской и Херсонской областей, а также со сложным этническим и религиозным составом населения), о взаимодействии для достижения межконфессионального согласия.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 xml:space="preserve">Предметом таких соглашений должно стать сотрудничество в области гармонизации межнациональных и межконфессиональных отношений, профилактики межрелигиозного экстремизма и противодействия идеологии терроризма и предупреждение конфликтов на религиозной почве. Для осуществления данного сотрудничества на региональном и местном </w:t>
      </w:r>
      <w:r>
        <w:lastRenderedPageBreak/>
        <w:t>уровнях необходимо: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содействовать решению задач по развитию межконфессионального сотрудничества и взаимодействия представителей религиозных организаций на территории субъекта Российской Федерации;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участвовать в разработке государственных региональных программ (подпрограмм) стратегий, планов по укреплению единства российской нации и этнокультурному развитию народов;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совершенствовать работу по пропаганде взаимоуважительных отношений и диалога представителей различных конфессий с активным привлечением лидеров общественного мнения, руководителей религиозных организаций, средств массовой информации;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содействовать развитию и поддержке общественно значимых инициатив, социальных, просветительских и благотворительных проектов религиозных объединений, направленных на укрепление межрелигиозных отношений;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непосредственно взаимодействовать с религиозными объединениями на территории субъекта Российской Федерации.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Активизировать в регионах деятельность экспертных советов по вопросам межнациональных и межрелигиозных отношений с участием представителей науки, образования, экспертных учреждений, национальных объединений и религиозных организаций. В случае отсутствия таких органов - создать их и организовать работу.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Основными задачами экспертных советов должны быть: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обеспечение взаимодействия органов государственной власти и органов местного самоуправления с экспертным сообществом и выработка на ее основе соответствующих предложений;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осуществление экспертной оценки влияния межнациональных и межконфессиональных отношений в субъекте Российской Федерации на ситуацию в сфере профилактики экстремизма и противодействия идеологии терроризма, а также по иным вопросам, относящимся к полномочиям субъекта Российской Федерации и выработка на ее основе соответствующих предложений;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осуществление экспертной оценки влияния миграционных процессов на состояние межнациональных и межконфессиональных отношений в субъекте Российской Федерации и выработка на ее основе соответствующих предложений;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осуществление экспертной оценки внешнего влияния на состояние межнациональных и межконфессиональных отношений в субъекте Российской Федерации и выработка на ее основе соответствующих предложений.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2.3. В рамках совместного проведения массовых просветительских, общественно значимых, этнокультурных и научно-образовательных мероприятий с участием религиозных объединений необходимо: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оказывать содействие в проведении массовых праздничных религиозных и религиозно-культурных мероприятий. При проведении таких мероприятий тщательно планировать их организацию (включать в перечень только те, которые реализуются во взаимодействии с религиозными объединениями и/или направлены на помощь им);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 xml:space="preserve">обеспечить деятельное участие религиозных объединений в проведении общественно </w:t>
      </w:r>
      <w:r>
        <w:lastRenderedPageBreak/>
        <w:t xml:space="preserve">значимых массовых, праздничных и памятных мероприятий (например, День народного единства, День России, День Победы, День солидарности в борьбе с терроризмом, День славянской письменности и культуры и др.), а также в проведении семинаров, совещаний, "круглых столов", рабочих встреч, форумов по вопросам реализации </w:t>
      </w:r>
      <w:hyperlink r:id="rId20">
        <w:r>
          <w:rPr>
            <w:color w:val="0000FF"/>
          </w:rPr>
          <w:t>Стратегии</w:t>
        </w:r>
      </w:hyperlink>
      <w:r>
        <w:t xml:space="preserve"> государственной национальной политики. Данные мероприятия должны носить содержательный характер, иметь повестку дня, желательно - рекомендации (решения) по итогам проведения. Возможна разработка плана таких мероприятий, его обсуждение и принятие решений по каждому из мероприятий, в том числе на заседаниях совещательных органов либо профильных рабочих групп.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Перечень мероприятий по взаимодействию с религиозными объединениями должен быть ориентирован прежде всего на качество мероприятий, событий, а не на их количество. Мероприятия должны иметь прямое отношение к рассматриваемой проблематике.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При взаимодействии с иностранными гражданами, прибывающими в Российскую Федерацию из освобожденных территорий Украины и Донбасса, учитывать особенности взаимоотношений между представителями Русской православной церкви (Московский Патриархат), Украинской православной церкви (Киевский патриархат) и православной церкви Украины (ПЦУ).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2.4. В целях государственной поддержки социально значимой деятельности религиозных объединений (финансовой, имущественной, консультативной, информационной и организационной) рекомендуется: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содействовать развитию практик и реализации проектов религиозных организаций, направленных на развитие межконфессионального диалога, достижение общественного согласия, укрепление духовно-нравственных ценностей, патриотическое воспитание, противодействие ксенофобии, русофобии, распространению идей национальной и религиозной исключительности;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обеспечить информационное сопровождение реализации таких проектов, акцентируя внимание на позитивном эффекте достигнутых результатов и общественной реакции в публичном пространстве;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рекомендовать религиозным организациям участвовать в конкурсных процедурах по предоставлению субсидий и грантов, которые организует Фонд президентских грантов по развитию гражданского общества;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содействовать деятельности некоммерческих организаций, оказывающих методическую, консультативную, а также ресурсную поддержку религиозным организациям, в том числе при подготовке заявок на получение субсидий и грантов;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осуществлять информационную поддержку деятельности религиозных организаций, направленную на гармонизацию межнациональных, межконфессиональных и государственно-конфессиональных отношений, в том числе путем организации интервью и выступлений в средствах массовой информации руководителей и членов религиозных организаций, размещения информации о деятельности религиозных организаций на официальных сайтах, информационных порталах регионов и социальных сетях;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 xml:space="preserve">организовать проведение обучающих семинаров (курсов) для представителей муниципальных образований и религиозных организаций. Темами таких семинаров (курсов) могут быть: оформление пакета документов, необходимого для участия в указанных выше конкурсных процедурах; правоприменительная практика в реализации федерального законодательства в сфере религиозных отношений; роль религиозных организаций в реализации </w:t>
      </w:r>
      <w:hyperlink r:id="rId21">
        <w:r>
          <w:rPr>
            <w:color w:val="0000FF"/>
          </w:rPr>
          <w:t>Стратегии</w:t>
        </w:r>
      </w:hyperlink>
      <w:r>
        <w:t xml:space="preserve"> государственной национальной политики; вопросы взаимодействия с религиозными организациями; государственно-конфессиональные отношения и профилактика межэтнической конфликтности; предотвращение попыток перевода бытовых конфликтных ситуаций в </w:t>
      </w:r>
      <w:r>
        <w:lastRenderedPageBreak/>
        <w:t>межнациональную либо религиозную плоскость; вопросы противодействия идеологии терроризма.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2.5. Для оценки состояния межконфессиональных отношений в субъекте Российской Федерации, раннего предупреждения конфликтных ситуаций на религиозной почве, принятия управленческих решений, направленных на гармонизацию межконфессиональных отношений, рекомендуется проводить социологические исследования.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Ежегодные массовые опросы, репрезентативные для субъекта Российской Федерации, позволяют контролировать динамику оценок состояния межконфессиональных отношений в субъекте, а также фиксировать изменение доли граждан, испытывающих в свой адрес дискриминацию по религиозному признаку. Рекомендуется проводить опросы методом индивидуального интервью по месту жительства респондента (с использованием бумажной анкеты либо планшета) или методом телефонного интервью.</w:t>
      </w:r>
    </w:p>
    <w:p w:rsidR="004B2991" w:rsidRDefault="004B2991">
      <w:pPr>
        <w:pStyle w:val="ConsPlusNormal"/>
        <w:spacing w:before="220"/>
        <w:ind w:firstLine="540"/>
        <w:jc w:val="both"/>
      </w:pPr>
      <w:r>
        <w:t>В зонах повышенного социального напряжения рекомендуется также оперативно проводить качественные исследования в конкретных муниципальных образованиях, которые являются зоной потенциального конфликта. Такие исследования могут проводиться методом фокус-групповых дискуссий с представителями целевой аудитории либо методом экспертных интервью.</w:t>
      </w:r>
    </w:p>
    <w:p w:rsidR="004B2991" w:rsidRDefault="004B2991">
      <w:pPr>
        <w:pStyle w:val="ConsPlusNormal"/>
        <w:jc w:val="both"/>
      </w:pPr>
    </w:p>
    <w:p w:rsidR="004B2991" w:rsidRDefault="004B2991">
      <w:pPr>
        <w:pStyle w:val="ConsPlusNormal"/>
        <w:jc w:val="both"/>
      </w:pPr>
    </w:p>
    <w:p w:rsidR="004B2991" w:rsidRDefault="004B2991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00672" w:rsidRDefault="00400672"/>
    <w:sectPr w:rsidR="00400672" w:rsidSect="00F240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B2991"/>
    <w:rsid w:val="00400672"/>
    <w:rsid w:val="004B2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6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B29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4B299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4B2991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71848" TargetMode="External"/><Relationship Id="rId13" Type="http://schemas.openxmlformats.org/officeDocument/2006/relationships/hyperlink" Target="https://login.consultant.ru/link/?req=doc&amp;base=LAW&amp;n=454373" TargetMode="External"/><Relationship Id="rId18" Type="http://schemas.openxmlformats.org/officeDocument/2006/relationships/hyperlink" Target="https://login.consultant.ru/link/?req=doc&amp;base=LAW&amp;n=469780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467303&amp;dst=100018" TargetMode="External"/><Relationship Id="rId7" Type="http://schemas.openxmlformats.org/officeDocument/2006/relationships/hyperlink" Target="https://login.consultant.ru/link/?req=doc&amp;base=LAW&amp;n=2875" TargetMode="External"/><Relationship Id="rId12" Type="http://schemas.openxmlformats.org/officeDocument/2006/relationships/hyperlink" Target="https://login.consultant.ru/link/?req=doc&amp;base=LAW&amp;n=404439" TargetMode="External"/><Relationship Id="rId17" Type="http://schemas.openxmlformats.org/officeDocument/2006/relationships/hyperlink" Target="https://login.consultant.ru/link/?req=doc&amp;base=LAW&amp;n=469780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369347&amp;dst=100012" TargetMode="External"/><Relationship Id="rId20" Type="http://schemas.openxmlformats.org/officeDocument/2006/relationships/hyperlink" Target="https://login.consultant.ru/link/?req=doc&amp;base=LAW&amp;n=467303&amp;dst=100018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42871&amp;dst=100043" TargetMode="External"/><Relationship Id="rId11" Type="http://schemas.openxmlformats.org/officeDocument/2006/relationships/hyperlink" Target="https://login.consultant.ru/link/?req=doc&amp;base=LAW&amp;n=358026" TargetMode="External"/><Relationship Id="rId5" Type="http://schemas.openxmlformats.org/officeDocument/2006/relationships/hyperlink" Target="https://login.consultant.ru/link/?req=doc&amp;base=LAW&amp;n=442871&amp;dst=100043" TargetMode="External"/><Relationship Id="rId15" Type="http://schemas.openxmlformats.org/officeDocument/2006/relationships/hyperlink" Target="https://login.consultant.ru/link/?req=doc&amp;base=LAW&amp;n=474036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login.consultant.ru/link/?req=doc&amp;base=LAW&amp;n=389271&amp;dst=100280" TargetMode="External"/><Relationship Id="rId19" Type="http://schemas.openxmlformats.org/officeDocument/2006/relationships/hyperlink" Target="https://login.consultant.ru/link/?req=doc&amp;base=LAW&amp;n=467303&amp;dst=100018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hyperlink" Target="https://login.consultant.ru/link/?req=doc&amp;base=LAW&amp;n=467303&amp;dst=100269" TargetMode="External"/><Relationship Id="rId14" Type="http://schemas.openxmlformats.org/officeDocument/2006/relationships/hyperlink" Target="https://login.consultant.ru/link/?req=doc&amp;base=LAW&amp;n=472832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3685</Words>
  <Characters>21008</Characters>
  <Application>Microsoft Office Word</Application>
  <DocSecurity>0</DocSecurity>
  <Lines>175</Lines>
  <Paragraphs>49</Paragraphs>
  <ScaleCrop>false</ScaleCrop>
  <Company/>
  <LinksUpToDate>false</LinksUpToDate>
  <CharactersWithSpaces>24644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2024-05-02T05:04:00Z</dcterms:created>
  <dcterms:modified xsi:type="dcterms:W3CDTF">2024-05-02T05:05:00Z</dcterms:modified>
</cp:coreProperties>
</file>