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6B3A97">
        <w:rPr>
          <w:rFonts w:ascii="Times New Roman" w:hAnsi="Times New Roman" w:cs="Times New Roman"/>
          <w:b/>
          <w:bCs/>
          <w:sz w:val="36"/>
          <w:szCs w:val="36"/>
        </w:rPr>
        <w:t>Маркировка музейных предметов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53.1. Присвоение музейным предметам учетных обозначений (далее - учетная маркировка) осуществляется посредством нанесения на предмет его полного учетного номера, состоящего из следующих обозначений: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шифр фонда и учетный номер по ГИК и книгам поступлений (ГИК или КП - основной фонд, НВФ - научно-вспомогательный фонд, СФ - сырьевой фонд, ЭФ - экспериментальный фонд);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шифр фондовой коллекции и учетный номер по инвентарной книге (например, ДРЖ-524);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шифр и учетный номер по специальной инвентарной книге (например, ЗА-78).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Полное учетное обозначение музейного предмета может иметь вид: ГИМ-1612/М-67/ЗА-5.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В случае если размер музейного предмета не позволяет нанести на его поверхность полный учетный номер, допускается нанесение только шифра фондовой коллекции и учетного номера по инвентарной книге (например, ДРЖ-524).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По решению ответственного хранителя или реставратора, возможно прикрепление подвесных учетных номеров к предмету.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53.2. Хранение и экспонирование музейных предметов без учетных обозначений не допускается.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53.3. Учетная маркировка предметов осуществляется ручным, механическим способами и, например, цифровой маркировкой, нанесением специальных идентифицирующих химически инертных составов, меток без ущерба их внешнему виду и состоянию сохранности.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53.4. При ручной и механической учетной маркировке музейных предметов применяются следующие способы нанесения их постоянных учетных обозначений: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lastRenderedPageBreak/>
        <w:t>на произведениях живописи - краской на верхней или нижней планке подрамника;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на картинах без подрамников - на кромке холста с оборотной стороны картины;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на картинах большого размера - дважды (сверху и снизу);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на иконах (досках) - белой или светлой голубой краской на торце или обороте доски;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на двухсторонних иконах - краской на торце;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на акварелях, рисунках, гравюрах, плакатах, отдельных рукописных листах, не оформленных в паспарту - на обороте листа в одном из углов;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на предметах, оформленных в паспарту - на паспарту;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 xml:space="preserve">на предмете, не подлежащем </w:t>
      </w:r>
      <w:proofErr w:type="spellStart"/>
      <w:r w:rsidRPr="006B3A97">
        <w:rPr>
          <w:rFonts w:ascii="Times New Roman" w:hAnsi="Times New Roman" w:cs="Times New Roman"/>
          <w:sz w:val="28"/>
          <w:szCs w:val="28"/>
        </w:rPr>
        <w:t>раскантовке</w:t>
      </w:r>
      <w:proofErr w:type="spellEnd"/>
      <w:r w:rsidRPr="006B3A97">
        <w:rPr>
          <w:rFonts w:ascii="Times New Roman" w:hAnsi="Times New Roman" w:cs="Times New Roman"/>
          <w:sz w:val="28"/>
          <w:szCs w:val="28"/>
        </w:rPr>
        <w:t xml:space="preserve"> - на его окантовке, о чем в инвентарной книге делается соответствующая запись;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на альбомах с рисунками, гравюрами, фотографиями, образцами тканей - на обороте титульного листа и на каждом листе альбома;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на произведениях скульптуры - краской сзади на нижнем углу плинта;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на крупногабаритной скульптуре - краской сзади на плинте нижней части или оборотной стороны подножия, таким образом, чтобы это не искажало внешний вид музейного предмета; на рельефах, прикрепляемых к стене, архитектурных фрагментах (фризы, колонны, карнизы) - на торцах, а при необходимости - в двух местах с разных сторон, но так, чтобы это не искажало внешний вид музейного предмета;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на мелкой скульптуре или предметах декоративно-прикладного искусства из камня, которые можно держать в руках, - краской на основании плинта или подножия;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на предметах декоративно-прикладного искусства из камня - краской сзади на плинте;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 xml:space="preserve">на предметах из керамики стекла, дерева, металла - эмалевой краской или тушью с последующим покрытием туши прозрачным лаком. На предметах с неровной и шершавой поверхностью применяются этикетки, закрепленные </w:t>
      </w:r>
      <w:r w:rsidRPr="006B3A97">
        <w:rPr>
          <w:rFonts w:ascii="Times New Roman" w:hAnsi="Times New Roman" w:cs="Times New Roman"/>
          <w:sz w:val="28"/>
          <w:szCs w:val="28"/>
        </w:rPr>
        <w:lastRenderedPageBreak/>
        <w:t>специальным клеем, рекомендованным реставраторами;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на миниатюрах, монетах, медалях, геммах, камнях, крестах, мелких археологических предметах и фрагментах - на их монтировке, индивидуальной упаковке (конверты, футляры, коробки) или на подвешенных этикетках из плотного картона или металла;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на крупногабаритных предметах из дерева, в том числе мебели, - эмалевой или масляной краской в местах, не покрытых лаком, политурой или фанеровкой;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на расписанных и резных предметах (прялки, рубели) - на местах, свободных от росписи и резьбы;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на открывающихся предметах (шкатулки, табакерки) - на внутренней поверхности с использованием этикетки на рыбьем клее;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на огнестрельном оружии - на внутренней стороне спусковой скобы или подвешенной этикете (картонной или металлической);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на холодном оружии - на рукояти или подвешенной этикетке (картонной или металлической);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на оборонительном вооружении (шлемы, щиты) - на внутренней стороне;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 xml:space="preserve">на тканях этикетка (с предварительно написанными номерами) из светлой плотной материи (коленкор, полотно, </w:t>
      </w:r>
      <w:proofErr w:type="spellStart"/>
      <w:r w:rsidRPr="006B3A97">
        <w:rPr>
          <w:rFonts w:ascii="Times New Roman" w:hAnsi="Times New Roman" w:cs="Times New Roman"/>
          <w:sz w:val="28"/>
          <w:szCs w:val="28"/>
        </w:rPr>
        <w:t>киперная</w:t>
      </w:r>
      <w:proofErr w:type="spellEnd"/>
      <w:r w:rsidRPr="006B3A97">
        <w:rPr>
          <w:rFonts w:ascii="Times New Roman" w:hAnsi="Times New Roman" w:cs="Times New Roman"/>
          <w:sz w:val="28"/>
          <w:szCs w:val="28"/>
        </w:rPr>
        <w:t xml:space="preserve"> лента) пришивается с изнанки. К несшитому предмету (ковер, платок, отрез материи) этикетка пришивается к одному из углов с изнанки;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на редких книгах и сброшюрованных документах штамп и номера проставляются на обороте последнего листа либо на внутренней стороне обложки;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на отдельных документах - на обороте листа в углу карандашом;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 xml:space="preserve">на фотоотпечатках, не наклеенных на бланк на бумажной основе, для маркировки используется карандаш </w:t>
      </w:r>
      <w:proofErr w:type="spellStart"/>
      <w:r w:rsidRPr="006B3A97">
        <w:rPr>
          <w:rFonts w:ascii="Times New Roman" w:hAnsi="Times New Roman" w:cs="Times New Roman"/>
          <w:sz w:val="28"/>
          <w:szCs w:val="28"/>
        </w:rPr>
        <w:t>чернографитовый</w:t>
      </w:r>
      <w:proofErr w:type="spellEnd"/>
      <w:r w:rsidRPr="006B3A97">
        <w:rPr>
          <w:rFonts w:ascii="Times New Roman" w:hAnsi="Times New Roman" w:cs="Times New Roman"/>
          <w:sz w:val="28"/>
          <w:szCs w:val="28"/>
        </w:rPr>
        <w:t xml:space="preserve"> со степенью твердости М-2М. Маркировка осуществляется на оборотной стороне фотографии в нижнем углу;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lastRenderedPageBreak/>
        <w:t>для фотоотпечатков на полиэтиленовых бумагах рекомендуется использовать архивно-безопасные инструмент-карандаши;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 xml:space="preserve">для маркировки дагерротипов, </w:t>
      </w:r>
      <w:proofErr w:type="spellStart"/>
      <w:r w:rsidRPr="006B3A97">
        <w:rPr>
          <w:rFonts w:ascii="Times New Roman" w:hAnsi="Times New Roman" w:cs="Times New Roman"/>
          <w:sz w:val="28"/>
          <w:szCs w:val="28"/>
        </w:rPr>
        <w:t>амбротипов</w:t>
      </w:r>
      <w:proofErr w:type="spellEnd"/>
      <w:r w:rsidRPr="006B3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3A97">
        <w:rPr>
          <w:rFonts w:ascii="Times New Roman" w:hAnsi="Times New Roman" w:cs="Times New Roman"/>
          <w:sz w:val="28"/>
          <w:szCs w:val="28"/>
        </w:rPr>
        <w:t>ферротипов</w:t>
      </w:r>
      <w:proofErr w:type="spellEnd"/>
      <w:r w:rsidRPr="006B3A97">
        <w:rPr>
          <w:rFonts w:ascii="Times New Roman" w:hAnsi="Times New Roman" w:cs="Times New Roman"/>
          <w:sz w:val="28"/>
          <w:szCs w:val="28"/>
        </w:rPr>
        <w:t xml:space="preserve"> целесообразно применять этикетки, закрепленные клеем на основе желатина, поливинилацетата и ацетилцеллюлозы. Не допускается применять силикатный, казеиновый и резиновый клей на основе латекса;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 xml:space="preserve">негативы на стеклянной основе маркируются в нижней части негатива на эмульсионном слое, в месте свободном от изображения </w:t>
      </w:r>
      <w:proofErr w:type="spellStart"/>
      <w:r w:rsidRPr="006B3A97">
        <w:rPr>
          <w:rFonts w:ascii="Times New Roman" w:hAnsi="Times New Roman" w:cs="Times New Roman"/>
          <w:sz w:val="28"/>
          <w:szCs w:val="28"/>
        </w:rPr>
        <w:t>чернографитовым</w:t>
      </w:r>
      <w:proofErr w:type="spellEnd"/>
      <w:r w:rsidRPr="006B3A97">
        <w:rPr>
          <w:rFonts w:ascii="Times New Roman" w:hAnsi="Times New Roman" w:cs="Times New Roman"/>
          <w:sz w:val="28"/>
          <w:szCs w:val="28"/>
        </w:rPr>
        <w:t xml:space="preserve"> карандашом со степенью твердости М-2М либо процарапывается шилом;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негативы на основе полимерной пленки маркируются на стороне свободной от эмульсионного слоя карандашом со степенью твердости М-2М;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на конверте, в котором помещены негативы, путем размещения наклейки или штампа;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B3A97">
        <w:rPr>
          <w:rFonts w:ascii="Times New Roman" w:hAnsi="Times New Roman" w:cs="Times New Roman"/>
          <w:sz w:val="28"/>
          <w:szCs w:val="28"/>
        </w:rPr>
        <w:t>даггеротипах</w:t>
      </w:r>
      <w:proofErr w:type="spellEnd"/>
      <w:r w:rsidRPr="006B3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3A97">
        <w:rPr>
          <w:rFonts w:ascii="Times New Roman" w:hAnsi="Times New Roman" w:cs="Times New Roman"/>
          <w:sz w:val="28"/>
          <w:szCs w:val="28"/>
        </w:rPr>
        <w:t>амбротипах</w:t>
      </w:r>
      <w:proofErr w:type="spellEnd"/>
      <w:r w:rsidRPr="006B3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3A97">
        <w:rPr>
          <w:rFonts w:ascii="Times New Roman" w:hAnsi="Times New Roman" w:cs="Times New Roman"/>
          <w:sz w:val="28"/>
          <w:szCs w:val="28"/>
        </w:rPr>
        <w:t>ферротипах</w:t>
      </w:r>
      <w:proofErr w:type="spellEnd"/>
      <w:r w:rsidRPr="006B3A97">
        <w:rPr>
          <w:rFonts w:ascii="Times New Roman" w:hAnsi="Times New Roman" w:cs="Times New Roman"/>
          <w:sz w:val="28"/>
          <w:szCs w:val="28"/>
        </w:rPr>
        <w:t xml:space="preserve"> - на этикетках, закрепленных специальным клеем, рекомендованным реставраторами;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на тушках животных и птиц - на специальных подвесных этикетках (ярлыках);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на чучелах - на подставках;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на препаратах, заключенных в банки или постоянные футляры - на наружной стороне банки или футляра;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на гербарных листах - на каждом листе внизу;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на геологических и палеонтологических образцах - непосредственно на предметах;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на почвенных образцах - на стенке ящиков с монолитами или на банках и коробках с образцами;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на сыпучих образцах - на упаковке.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 xml:space="preserve">53.5. На предметах с бумажной основой (рисунки, гравюры, плакаты, рукописи) или на ярлыках на тканевой основе для пришивания их к предметам из тканей, применяются специально изготовленные штампы размером не более 15 x 30 мм. Учетные обозначения на штампе проставляются краской или </w:t>
      </w:r>
      <w:r w:rsidRPr="006B3A97">
        <w:rPr>
          <w:rFonts w:ascii="Times New Roman" w:hAnsi="Times New Roman" w:cs="Times New Roman"/>
          <w:sz w:val="28"/>
          <w:szCs w:val="28"/>
        </w:rPr>
        <w:lastRenderedPageBreak/>
        <w:t>тушью.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53.6. Все учетные обозначения (шифры и номера) музея, нанесенные на предметы, подлежащие замене на новые номера или шифры, сохраняются на предметах, и погашаются посредством зачеркивания одной чертой, чтобы данные читались и просматривались.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Ярлыки, этикетки и надписи старых музейных собраний, частных коллекций или выставочных залов, отражающие историю предмета и музейного собирательства, погашению посредством зачеркивания и отделению от музейного предмета не подлежат.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53.7. Предметы, поступившие в музей на временное хранение (временное экспонирование, реставрация), маркируются упрощенной техникой: номера временного хранения (временного пользования) наносятся карандашом или обозначаются на подвесных ярлыках.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 xml:space="preserve">53.8. Система учетной маркировки и способы нанесения учетных обозначений на каждый вид музейных предметов определяются </w:t>
      </w:r>
      <w:proofErr w:type="spellStart"/>
      <w:r w:rsidRPr="006B3A97">
        <w:rPr>
          <w:rFonts w:ascii="Times New Roman" w:hAnsi="Times New Roman" w:cs="Times New Roman"/>
          <w:sz w:val="28"/>
          <w:szCs w:val="28"/>
        </w:rPr>
        <w:t>Внутримузейными</w:t>
      </w:r>
      <w:proofErr w:type="spellEnd"/>
      <w:r w:rsidRPr="006B3A97">
        <w:rPr>
          <w:rFonts w:ascii="Times New Roman" w:hAnsi="Times New Roman" w:cs="Times New Roman"/>
          <w:sz w:val="28"/>
          <w:szCs w:val="28"/>
        </w:rPr>
        <w:t xml:space="preserve"> правилами.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Применение при маркировке новых материалов (клей, краска) согласовывается с реставраторами.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53.9. В целях обеспечения безопасности, защиты музейного предмета от преступных посягательств (включая хищение) и идентификации музейного предмета на него наносится охранная маркировка.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53.10. Охранная маркировка осуществляется путем нанесения на музейный предмет средства идентификации (например, химической метки, радиочастотной метки).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53.11. Средство идентификации должно быть безвредным для здоровья человека при экспонировании или хранении музейных предметов в фондохранилищах и залах музея, с учетом временного фактора воздействия на персонал и посетителей.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 xml:space="preserve">53.12. Средство идентификации должно быть безвредным для здоровья маркировщиков, реставраторов и сотрудников, непосредственно вступающим </w:t>
      </w:r>
      <w:r w:rsidRPr="006B3A97">
        <w:rPr>
          <w:rFonts w:ascii="Times New Roman" w:hAnsi="Times New Roman" w:cs="Times New Roman"/>
          <w:sz w:val="28"/>
          <w:szCs w:val="28"/>
        </w:rPr>
        <w:lastRenderedPageBreak/>
        <w:t>в контакт с маркированным музейным предметом.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53.13. Средство идентификации должно быть безопасным по отношению к состоянию сохранности музейного предмета во время маркировки, хранения и перемещения музейного предмета, а также при его идентификации.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53.14. Средство идентификации не должно вносить изменения в структуру музейного предмета.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53.15. В случае нанесения химической метки на музейный предмет используется уникальный бесцветный маркировочный состав. Маркировочный состав должен обладать следующими характеристиками: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групповыми идентификационными признаками, совокупность которых определяется с помощью специального портативного детектора;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невидимый в естественном освещении, но визуально читаем при использовании спектральных осветителей (портативного детектора);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высокая устойчивость к механическим воздействиям (стирание, повреждение);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повышенная устойчивость к внешним воздействиям (тепла, влаги, света и иным).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 xml:space="preserve">53.16. Прогнозируемая </w:t>
      </w:r>
      <w:proofErr w:type="spellStart"/>
      <w:r w:rsidRPr="006B3A97">
        <w:rPr>
          <w:rFonts w:ascii="Times New Roman" w:hAnsi="Times New Roman" w:cs="Times New Roman"/>
          <w:sz w:val="28"/>
          <w:szCs w:val="28"/>
        </w:rPr>
        <w:t>сохраняемость</w:t>
      </w:r>
      <w:proofErr w:type="spellEnd"/>
      <w:r w:rsidRPr="006B3A97">
        <w:rPr>
          <w:rFonts w:ascii="Times New Roman" w:hAnsi="Times New Roman" w:cs="Times New Roman"/>
          <w:sz w:val="28"/>
          <w:szCs w:val="28"/>
        </w:rPr>
        <w:t xml:space="preserve"> охранной маркировки, а также ее идентификационных признаков на поверхности маркированных музейных предметов должна составлять не менее 50 лет.</w:t>
      </w:r>
    </w:p>
    <w:p w:rsidR="006B3A97" w:rsidRPr="006B3A97" w:rsidRDefault="006B3A97" w:rsidP="006B3A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97">
        <w:rPr>
          <w:rFonts w:ascii="Times New Roman" w:hAnsi="Times New Roman" w:cs="Times New Roman"/>
          <w:sz w:val="28"/>
          <w:szCs w:val="28"/>
        </w:rPr>
        <w:t>53.17. Система охранной маркировки музейных предметов, требования к средству идентификации, используемого в музее, правила нанесения охранной маркировки, а также сроки и этапы введения системы охранной маркировки музейных предметов в музее определяются учредителем музея.</w:t>
      </w:r>
    </w:p>
    <w:p w:rsidR="009B4C44" w:rsidRPr="006B3A97" w:rsidRDefault="009B4C44" w:rsidP="006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4C44" w:rsidRPr="006B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97"/>
    <w:rsid w:val="006B3A97"/>
    <w:rsid w:val="009B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03044-71DE-4644-8594-9DAC13AA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1398</Words>
  <Characters>7970</Characters>
  <Application>Microsoft Office Word</Application>
  <DocSecurity>0</DocSecurity>
  <Lines>66</Lines>
  <Paragraphs>18</Paragraphs>
  <ScaleCrop>false</ScaleCrop>
  <Company/>
  <LinksUpToDate>false</LinksUpToDate>
  <CharactersWithSpaces>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2024-03-31T07:24:00Z</dcterms:created>
  <dcterms:modified xsi:type="dcterms:W3CDTF">2024-03-31T07:31:00Z</dcterms:modified>
</cp:coreProperties>
</file>